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100111,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2065-2080, 2023.</w:t>
      </w:r>
    </w:p>
    <w:p>
      <w:pPr>
        <w:numPr>
          <w:numId w:val="6"/>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e2023GC010964, 2023.</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464-465, </w:t>
      </w:r>
      <w:r>
        <w:rPr>
          <w:rFonts w:ascii="" w:hAnsi="" w:cs="" w:eastAsia=""/>
          <w:b w:val="false"/>
          <w:i w:val="true"/>
          <w:strike w:val="false"/>
          <w:color w:val="000000"/>
          <w:sz w:val="20"/>
          <w:u w:val="none"/>
        </w:rPr>
        <w:t xml:space="preserve">107437,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49-54,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 茂樹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1-10,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裕貴, 本郷 美佐緒, 水野 清秀, 納谷 友規, 中谷 是崇,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徳島平野南東部沿岸地域における地下更新統年代層序,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11-30,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Okamura : </w:t>
      </w:r>
      <w:r>
        <w:rPr>
          <w:rFonts w:ascii="" w:hAnsi="" w:cs="" w:eastAsia=""/>
          <w:b w:val="false"/>
          <w:i w:val="false"/>
          <w:strike w:val="false"/>
          <w:color w:val="000000"/>
          <w:sz w:val="20"/>
          <w:u w:val="none"/>
        </w:rPr>
        <w:t xml:space="preserve">Metamorphic pressure-temperature conditions of garnet granulite from the Eastern Iratsu body in the Sambagawa belt, SW Japan,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241001, 2025.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