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古澤 修一 : </w:t>
      </w:r>
      <w:r>
        <w:rPr>
          <w:rFonts w:ascii="" w:hAnsi="" w:cs="" w:eastAsia=""/>
          <w:b w:val="false"/>
          <w:i w:val="false"/>
          <w:strike w:val="false"/>
          <w:color w:val="000000"/>
          <w:sz w:val="20"/>
          <w:u w:val="none"/>
        </w:rPr>
        <w:t xml:space="preserve">アクティブ・ラーニングを取り入れた授業実践, </w:t>
      </w:r>
      <w:r>
        <w:rPr>
          <w:rFonts w:ascii="" w:hAnsi="" w:cs="" w:eastAsia=""/>
          <w:b w:val="false"/>
          <w:i w:val="true"/>
          <w:strike w:val="false"/>
          <w:color w:val="000000"/>
          <w:sz w:val="20"/>
          <w:u w:val="none"/>
        </w:rPr>
        <w:t xml:space="preserve">平成28年度徳島大学「大学教育再生加速プログラム」シンポジウム アクティブ・ラーニング&amp;反転授業 発表抄録集, </w:t>
      </w:r>
      <w:r>
        <w:rPr>
          <w:rFonts w:ascii="" w:hAnsi="" w:cs="" w:eastAsia=""/>
          <w:b w:val="false"/>
          <w:i w:val="false"/>
          <w:strike w:val="false"/>
          <w:color w:val="000000"/>
          <w:sz w:val="20"/>
          <w:u w:val="none"/>
        </w:rPr>
        <w:t>4-5,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診療参加型臨床実習における学生の満足度と学修到達度の規定因子,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学生の視点に基づいた授業改善の実践とその成果,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医療系学部におけるアクティブラーニングの実施状況と満足度および自学自修時間との関係,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