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徳島県立文書館アーカイブ資料を活用した地域コンテクストの掘り起こし,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芸術による地域創生 ビショップス大学との交流プロジェクト,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京都府立大江高校スタジオを活用した映像メディアによる地域コンテクストの前景化 (京都工芸繊維大学でのCOCプロジェクトへの協働参加), 2016年7月〜12月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