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大阪のことば地図, 和泉書院,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Vol.XI,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Vol.1185, </w:t>
      </w:r>
      <w:r>
        <w:rPr>
          <w:rFonts w:ascii="" w:hAnsi="" w:cs="" w:eastAsia=""/>
          <w:b w:val="false"/>
          <w:i w:val="true"/>
          <w:strike w:val="false"/>
          <w:color w:val="000000"/>
          <w:sz w:val="20"/>
          <w:u w:val="none"/>
        </w:rPr>
        <w:t xml:space="preserve">No.Ecological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Vol.44:2,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true"/>
          <w:strike w:val="false"/>
          <w:color w:val="000000"/>
          <w:sz w:val="20"/>
          <w:u w:val="none"/>
        </w:rPr>
        <w:t xml:space="preserve">No.Oxygen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1-207,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Vol.7(2010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Vol.945(2011.1.15),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false"/>
          <w:strike w:val="false"/>
          <w:color w:val="000000"/>
          <w:sz w:val="20"/>
          <w:u w:val="none"/>
        </w:rPr>
        <w:t>1-422,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1-295,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No.604,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No.527,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No.485,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1-166,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1-285,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第13章第1節 香川県伊吹島から大分県杵築市美濃崎への移住にみられる言語的特徴,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質問調査のデータ分析方法,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4.自由記述によるアンケート調査からことばの地域差を探る,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Vol.vol20, </w:t>
      </w:r>
      <w:r>
        <w:rPr>
          <w:rFonts w:ascii="" w:hAnsi="" w:cs="" w:eastAsia=""/>
          <w:b w:val="false"/>
          <w:i w:val="true"/>
          <w:strike w:val="false"/>
          <w:color w:val="000000"/>
          <w:sz w:val="20"/>
          <w:u w:val="none"/>
        </w:rPr>
        <w:t xml:space="preserve">No.no3,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No.2012,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No.spring,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Vol.E-2,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1-419,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都市と周縁のことば-紀伊半島沿岸グロットグラム- (和泉書院) -,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No.1302,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地域言語に関するGIS分析―瀬戸内海地域をフィールドとして―(2013年人文地理学会大会) 0,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No.1132,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1-107,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No.652,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No.2361,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No.442,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No.39/40,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pp.70-71,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Vol.18. Jahrgang,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No.384,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1-282,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空間と時間の中の方言, 朝倉書店, 東京,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e0154167,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73-82,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2017.</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91-96,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No.VOL.64, </w:t>
      </w:r>
      <w:r>
        <w:rPr>
          <w:rFonts w:ascii="" w:hAnsi="" w:cs="" w:eastAsia=""/>
          <w:b w:val="false"/>
          <w:i w:val="false"/>
          <w:strike w:val="false"/>
          <w:color w:val="000000"/>
          <w:sz w:val="20"/>
          <w:u w:val="none"/>
        </w:rPr>
        <w:t>20-31,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1-5,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94-96,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147-160,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19-20,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5"/>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8"/>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8"/>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13-54,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1-11,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