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Vol.4692,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Vol.W-L9.1,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291-293,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true"/>
          <w:strike w:val="false"/>
          <w:color w:val="000000"/>
          <w:sz w:val="20"/>
          <w:u w:val="none"/>
        </w:rPr>
        <w:t xml:space="preserve">No.126970,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Yifei, Tao Sichen, Li Haotian,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Tang Zheng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医用画像AI開発支援ソフトウェアを用いた歯科用CBCT画像における下顎菅のセグメンテーション,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Fei,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Zhang Zhifei, Jiazheng Zhou,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Shi Xuefeng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