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Mg-Al-Caダイカスト合金における微細C15-Al&lt;sub&gt;2&lt;/sub&gt;Ca相による析出分散強化,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