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特願PCT/JP2017/020095 (2017年5月), 特開WO2017/209126 (2017年12月),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特願2017/535463 (2017年5月), 特開WO2017/209126A1, 特許第6482104号 (2019年2月).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プロピレンオキサイドの製造方法, 特願2018-025285 (2018年2月), 特開2019-137665 (2019年8月),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特願16/202,914 (2018年12月), 特許第10,384,998号 (2019年8月).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アルカン脱水素用触媒及びその製造方法，並びに不飽和炭化水素の製造方法, 特願2019-206232 (2019年11月),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亮輔, 沖田 千明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モノクロロアルカンの製造方法, 特願2020-021580 (2020年2月), 特開2021-127306 (2021年9月),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触媒及びその製造方法，並びに不飽和炭化水素の製造方法, 特願2020-159945 (2020年9月), 特開PCT/JP2020/042127 (2020年11月), 特許第497737(India)号 (2024年1月).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高郁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特願2021-053328 (2021年3月), 特開2022-150640 (2022年10月),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アルミドロス残灰の用途, 特願2021-134216 (2021年8月),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特願2023-114238 (2023年7月),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特願2023-114247 (2023年7月),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特願2023-176111 (2023年10月),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聰, 熊谷 啓太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ゼオライトの製造方法, 特願2023-202035 (2023年11月),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リン酸鉄の製造方法, 特願2024-033589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