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585-597,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491-514,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No.SGL33-08,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129-130,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124-125,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52-59,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43-48,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877-888,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23-36,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1-11,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153-160,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35-40,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85-98,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99-111,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40-48,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No.100215,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Vol.348-349, </w:t>
      </w:r>
      <w:r>
        <w:rPr>
          <w:rFonts w:ascii="" w:hAnsi="" w:cs="" w:eastAsia=""/>
          <w:b w:val="false"/>
          <w:i w:val="true"/>
          <w:strike w:val="false"/>
          <w:color w:val="000000"/>
          <w:sz w:val="20"/>
          <w:u w:val="none"/>
        </w:rPr>
        <w:t xml:space="preserve">No.105184,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none"/>
        </w:rPr>
        <w:t xml:space="preserve">Paleorient,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100332, 2020.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N1,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23-34,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104469, 2020.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Vol.372-373, </w:t>
      </w:r>
      <w:r>
        <w:rPr>
          <w:rFonts w:ascii="" w:hAnsi="" w:cs="" w:eastAsia=""/>
          <w:b w:val="false"/>
          <w:i w:val="false"/>
          <w:strike w:val="false"/>
          <w:color w:val="000000"/>
          <w:sz w:val="20"/>
          <w:u w:val="none"/>
        </w:rPr>
        <w:t>105665, 2020.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195-201,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87-94,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47-49,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7-20,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37-40,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37-40,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No.362, </w:t>
      </w:r>
      <w:r>
        <w:rPr>
          <w:rFonts w:ascii="" w:hAnsi="" w:cs="" w:eastAsia=""/>
          <w:b w:val="false"/>
          <w:i w:val="false"/>
          <w:strike w:val="false"/>
          <w:color w:val="000000"/>
          <w:sz w:val="20"/>
          <w:u w:val="none"/>
        </w:rPr>
        <w:t>106291, 2021.</w:t>
      </w:r>
    </w:p>
    <w:p>
      <w:pPr>
        <w:numPr>
          <w:numId w:val="10"/>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Vol.404-405, </w:t>
      </w:r>
      <w:r>
        <w:rPr>
          <w:rFonts w:ascii="" w:hAnsi="" w:cs="" w:eastAsia=""/>
          <w:b w:val="false"/>
          <w:i w:val="true"/>
          <w:strike w:val="false"/>
          <w:color w:val="000000"/>
          <w:sz w:val="20"/>
          <w:u w:val="none"/>
        </w:rPr>
        <w:t xml:space="preserve">No.106438,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No.105011,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11-14,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No.100111,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2065-2080, 2023.</w:t>
      </w:r>
    </w:p>
    <w:p>
      <w:pPr>
        <w:numPr>
          <w:numId w:val="12"/>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e2023GC010964, 2023.</w:t>
      </w:r>
    </w:p>
    <w:p>
      <w:pPr>
        <w:numPr>
          <w:numId w:val="12"/>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Vol.464-465, </w:t>
      </w:r>
      <w:r>
        <w:rPr>
          <w:rFonts w:ascii="" w:hAnsi="" w:cs="" w:eastAsia=""/>
          <w:b w:val="false"/>
          <w:i w:val="true"/>
          <w:strike w:val="false"/>
          <w:color w:val="000000"/>
          <w:sz w:val="20"/>
          <w:u w:val="none"/>
        </w:rPr>
        <w:t xml:space="preserve">No.107437,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49-54,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