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Sugiyama, Ayumi Maeda, Hiroshi Tanaka,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好熱性細菌 Thermus thermophilus 無機ピロリン酸加水分解酵素の error-prone PCR 変異導入による熱凝集抑制,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優人, 阿部 桃子, 遠藤 陽介, 坂田 真宏, Zesem Ichinkhorloo, Janlav Munkhtsetseg,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モンゴル国家畜乳および乳製品中の細菌のクローンライブラリー法による解析,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25-27,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811548, 2022.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