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46715, 2017.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26-28,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79-80,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668-675,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305-316,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752-757,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11957, 2019.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e0241290,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560--570,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1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1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