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208-216,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538, </w:t>
      </w:r>
      <w:r>
        <w:rPr>
          <w:rFonts w:ascii="" w:hAnsi="" w:cs="" w:eastAsia=""/>
          <w:b w:val="false"/>
          <w:i w:val="true"/>
          <w:strike w:val="false"/>
          <w:color w:val="000000"/>
          <w:sz w:val="20"/>
          <w:u w:val="none"/>
        </w:rPr>
        <w:t xml:space="preserve">7625, </w:t>
      </w:r>
      <w:r>
        <w:rPr>
          <w:rFonts w:ascii="" w:hAnsi="" w:cs="" w:eastAsia=""/>
          <w:b w:val="false"/>
          <w:i w:val="false"/>
          <w:strike w:val="false"/>
          <w:color w:val="000000"/>
          <w:sz w:val="20"/>
          <w:u w:val="none"/>
        </w:rPr>
        <w:t>336-343,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6950-6957,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89-94,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第3版 都道府県別日本の地理データマップ 6 中国・四国地方, --- 6．温暖な気候と豊かな自然，阿波踊りも有名 徳島県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012010-1-012010-4,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922-929,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28-32,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e12538,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考える力を高める「難問・良問」チャレンジ 〈日清・日露戦争∼第二次世界大戦〉号外新聞!どちらがよく売れる?,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56-57,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172,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H29,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42-43,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012068-1-012068-5,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714-720,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548-557,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597-601,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2754-2760,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264-268,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015005-1-015005-6,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011112-1-011112-6,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011053-1-011053-5,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26-28,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98-103,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138,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「政治的有効性感覚」を高める主権者教育を目指して, </w:t>
      </w:r>
      <w:r>
        <w:rPr>
          <w:rFonts w:ascii="" w:hAnsi="" w:cs="" w:eastAsia=""/>
          <w:b w:val="false"/>
          <w:i w:val="true"/>
          <w:strike w:val="false"/>
          <w:color w:val="000000"/>
          <w:sz w:val="20"/>
          <w:u w:val="none"/>
        </w:rPr>
        <w:t xml:space="preserve">令和元年度 教育実践に関する共同研究会,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104469, 2020.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372-373, </w:t>
      </w:r>
      <w:r>
        <w:rPr>
          <w:rFonts w:ascii="" w:hAnsi="" w:cs="" w:eastAsia=""/>
          <w:b w:val="false"/>
          <w:i w:val="false"/>
          <w:strike w:val="false"/>
          <w:color w:val="000000"/>
          <w:sz w:val="20"/>
          <w:u w:val="none"/>
        </w:rPr>
        <w:t>105665, 2020.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185-192,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主権者意識を涵養する学習指導の在り方, --- 政治とのつながり，政治に参加する必要性を実感する社会科学習 ---,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見方・考え方を働かせた資質・能力育成の社会科教育のあり方とその社会的意義, </w:t>
      </w:r>
      <w:r>
        <w:rPr>
          <w:rFonts w:ascii="" w:hAnsi="" w:cs="" w:eastAsia=""/>
          <w:b w:val="false"/>
          <w:i w:val="true"/>
          <w:strike w:val="false"/>
          <w:color w:val="000000"/>
          <w:sz w:val="20"/>
          <w:u w:val="none"/>
        </w:rPr>
        <w:t xml:space="preserve">第69回全国社会科教育学会・第37回鳴門社会科教育学会 合同全国研究大会(ウェブサイト開催) シンポジウム「社会科教育の責任」発表原稿,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徳島型メンター制度を活用した学校活性化の取組について, </w:t>
      </w:r>
      <w:r>
        <w:rPr>
          <w:rFonts w:ascii="" w:hAnsi="" w:cs="" w:eastAsia=""/>
          <w:b w:val="false"/>
          <w:i w:val="true"/>
          <w:strike w:val="false"/>
          <w:color w:val="000000"/>
          <w:sz w:val="20"/>
          <w:u w:val="none"/>
        </w:rPr>
        <w:t xml:space="preserve">令和2年度 教育実践に関する共同研究会,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362, </w:t>
      </w:r>
      <w:r>
        <w:rPr>
          <w:rFonts w:ascii="" w:hAnsi="" w:cs="" w:eastAsia=""/>
          <w:b w:val="false"/>
          <w:i w:val="false"/>
          <w:strike w:val="false"/>
          <w:color w:val="000000"/>
          <w:sz w:val="20"/>
          <w:u w:val="none"/>
        </w:rPr>
        <w:t>106291, 2021.</w:t>
      </w:r>
    </w:p>
    <w:p>
      <w:pPr>
        <w:numPr>
          <w:numId w:val="10"/>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404-405, </w:t>
      </w:r>
      <w:r>
        <w:rPr>
          <w:rFonts w:ascii="" w:hAnsi="" w:cs="" w:eastAsia=""/>
          <w:b w:val="false"/>
          <w:i w:val="true"/>
          <w:strike w:val="false"/>
          <w:color w:val="000000"/>
          <w:sz w:val="20"/>
          <w:u w:val="none"/>
        </w:rPr>
        <w:t xml:space="preserve">106438,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105011,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公民としての資質・能力の中核をなす「社会的判断力」の育成,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747,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423-433,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762-783,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中学校社会 指導スキル大全, 明治図書出版,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第4版 都道府県別日本の地理データマップ 6 中国・四国地方, --- 6.徳島県 温暖な気候と豊かな自然．阿波おどりも有名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キーワードは「思考過程」と「学びの蓄積」,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生徒，教師，地域が変わる総合的な学習の時間, </w:t>
      </w:r>
      <w:r>
        <w:rPr>
          <w:rFonts w:ascii="" w:hAnsi="" w:cs="" w:eastAsia=""/>
          <w:b w:val="false"/>
          <w:i w:val="true"/>
          <w:strike w:val="false"/>
          <w:color w:val="000000"/>
          <w:sz w:val="20"/>
          <w:u w:val="none"/>
        </w:rPr>
        <w:t xml:space="preserve">令和4年度徳島県中学校「総合的な学習の時間」教育研究大会 大会要項,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1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「徳島型メンター制度のメリット」に関する考察 ―堀江北小学校における実践等の分析を通してー, </w:t>
      </w:r>
      <w:r>
        <w:rPr>
          <w:rFonts w:ascii="" w:hAnsi="" w:cs="" w:eastAsia=""/>
          <w:b w:val="false"/>
          <w:i w:val="true"/>
          <w:strike w:val="false"/>
          <w:color w:val="000000"/>
          <w:sz w:val="20"/>
          <w:u w:val="none"/>
        </w:rPr>
        <w:t xml:space="preserve">令和5年度 教育実践に関する共同研究会 研究レポート,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13"/>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