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5"/>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5"/>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2011.</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860-862,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6-11,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6"/>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229-307, 2012.</w:t>
      </w:r>
    </w:p>
    <w:p>
      <w:pPr>
        <w:numPr>
          <w:numId w:val="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615, 2012.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1686-1692,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3845-3850,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2225-2229, 2012.</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 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1879-1885, 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146, </w:t>
      </w:r>
      <w:r>
        <w:rPr>
          <w:rFonts w:ascii="" w:hAnsi="" w:cs="" w:eastAsia=""/>
          <w:b w:val="false"/>
          <w:i w:val="false"/>
          <w:strike w:val="false"/>
          <w:color w:val="000000"/>
          <w:sz w:val="20"/>
          <w:u w:val="none"/>
        </w:rPr>
        <w:t>1,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s404,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761-772,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1770-1780,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9"/>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682-688,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9"/>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757-765,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2015.</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9"/>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873-880,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2015.</w:t>
      </w:r>
    </w:p>
    <w:p>
      <w:pPr>
        <w:numPr>
          <w:numId w:val="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758-765,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S119-121,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e2100226,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829682, 2022.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280-285,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801-806, 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45-50, 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Lipotoxicity in the pathogenesis of chronic kidney disease complications, Jan. 2023.</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6353, 2022.</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Aoi Komiya,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Noriko Ishizuka, Hisayoshi Hayashi,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260-270,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736-741,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Sumire Sasaki, Megumi Koike, 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Peter 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1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1467, 2023.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102-120,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607-615, Aug.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267-271, 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112-116, 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Minori Uga,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Naoko Tsugawa, W. Peter Jurutka,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P450s in Vitamin D Metabolism,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Yushi Onoda, Miharu Nagahashi, Michiyo Yamashita, Shiho Fukushima, Toshihiko Aizawa, Shigeharu Yamauchi, Yasuo Fujikawa, Tomotake Tanaka, Yasuko Kadomura-Ishikawa,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R Ernest Blatchley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melanin in molds provides wavelength-dependent UV tolerance., </w:t>
      </w:r>
      <w:r>
        <w:rPr>
          <w:rFonts w:ascii="" w:hAnsi="" w:cs="" w:eastAsia=""/>
          <w:b w:val="false"/>
          <w:i w:val="true"/>
          <w:strike w:val="false"/>
          <w:color w:val="000000"/>
          <w:sz w:val="20"/>
          <w:u w:val="single"/>
        </w:rPr>
        <w:t>Photochemical &amp; Photobiological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1791-1806,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 T. K. Bui, Y.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H. Hirakawa, K. Awamoto,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mercury-free far-UVC light source using Luminous Array Film technology and its germicidal effects,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Tran Quang Duc,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Capacity and Mechanism of Lactiplantibacillus plantarum in Synthesizing Essential Amino Acids from Non-Essential Amino Acids in a Novel Severely Deficient Medium, </w:t>
      </w:r>
      <w:r>
        <w:rPr>
          <w:rFonts w:ascii="" w:hAnsi="" w:cs="" w:eastAsia=""/>
          <w:b w:val="false"/>
          <w:i w:val="true"/>
          <w:strike w:val="false"/>
          <w:color w:val="000000"/>
          <w:sz w:val="20"/>
          <w:u w:val="single"/>
        </w:rPr>
        <w:t>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蒼, 東 彩生,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リン代謝調節機構―腸管リン酸輸送の理解ー,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247-253, 2024年4月.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UGA Minori, </w:t>
      </w: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KOMIYA Aoi, SHIBAHARA Shion, Ayami Higashi,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functional domains of TMEM174 on PTH-induced endocytosis of NaPi2a,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Renaissance Tuscany Il Ciocco, Via Giovanni Pascoli, Lucca, Italy, Feb. 2025.</w:t>
      </w:r>
    </w:p>
    <w:p>
      <w:pPr>
        <w:numPr>
          <w:numId w:val="1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濵口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彩生, 小宮 蒼, 石川 茜, 柴原 しおん, 宇賀 穂,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高リン血症を予防する新規リン代謝調節因子の同定と解析, </w:t>
      </w:r>
      <w:r>
        <w:rPr>
          <w:rFonts w:ascii="" w:hAnsi="" w:cs="" w:eastAsia=""/>
          <w:b w:val="false"/>
          <w:i w:val="true"/>
          <w:strike w:val="false"/>
          <w:color w:val="000000"/>
          <w:sz w:val="20"/>
          <w:u w:val="none"/>
        </w:rPr>
        <w:t xml:space="preserve">第12回日本腎栄養代謝研究会 学術集会・総会, </w:t>
      </w:r>
      <w:r>
        <w:rPr>
          <w:rFonts w:ascii="" w:hAnsi="" w:cs="" w:eastAsia=""/>
          <w:b w:val="false"/>
          <w:i w:val="false"/>
          <w:strike w:val="false"/>
          <w:color w:val="000000"/>
          <w:sz w:val="20"/>
          <w:u w:val="none"/>
        </w:rPr>
        <w:t>2024年8月.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小宮 蒼, 東 彩生, 大森 みのり, 谷井 颯花,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IP6K-Xpr1阻害剤の近位尿細管細胞NaPi2a発現及びリン酸輸送活性に対する作用の解明, </w:t>
      </w:r>
      <w:r>
        <w:rPr>
          <w:rFonts w:ascii="" w:hAnsi="" w:cs="" w:eastAsia=""/>
          <w:b w:val="false"/>
          <w:i w:val="true"/>
          <w:strike w:val="false"/>
          <w:color w:val="000000"/>
          <w:sz w:val="20"/>
          <w:u w:val="none"/>
        </w:rPr>
        <w:t xml:space="preserve">第 57 回 日本栄養・食糧学会 中国・四国支部大会,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東 彩生, 三浦 美月,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