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南出 泰亜, 大野 誠吾,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電磁波制御装置，電磁波制御方法，及び電磁波伝達装置, 特願2020-030068 (2020年2月), 特許第2020-030068号 (2020年2月).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特願2020-060320 (2020年3月),  (2021年10月), 特許第7398738号 (2023年12月).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細田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新規なラクタム化合物又はその塩，錯体並びにそれらを含む肥料及び植物成長調整剤,  (2020年3月), 特許第2020-060320号 (2020年3月).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光周波数コム発生装置,  (2020年11月), 特許第2020-183911号.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マイクロコムの位相雑音低減化装置及び方法,  (2021年3月), 特許第2021-037635号.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光周波数コムの周波数制御装置及び方法,  (2021年3月), 特許第2021-037633号.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光周波数コムの周波数掃引量測定装置及び方法,  (2021年3月), 特許第2021-037634号.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ライダー装置及びライダー制御方法,  (2021年3月), 特許第2021-046609号.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距離，速度測定装置及び距離，速度測定方法,  (2021年3月), 特許第2021-046608号.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特願2021-128669 (2021年8月), 特開2023-023294 (2023年2月),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ファイバーセンシング装置, 特願2022-005612 (2022年1月), 特開2023-079135 (2023年6月),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