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215-220,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217-222,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169-175,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13-20,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293-298,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C-KA3_1-10, 2021年.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103-112,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220-227,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180-185, 2022年.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198-203,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Dev-p001,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264-270, 2023年.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 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Trans-003, 2023.</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371-382,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291-297, 2024年.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1025-1026,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1094-1096,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269-276, 2025年.</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