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91-100,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793, </w:t>
      </w:r>
      <w:r>
        <w:rPr>
          <w:rFonts w:ascii="" w:hAnsi="" w:cs="" w:eastAsia=""/>
          <w:b w:val="false"/>
          <w:i w:val="true"/>
          <w:strike w:val="false"/>
          <w:color w:val="000000"/>
          <w:sz w:val="20"/>
          <w:u w:val="none"/>
        </w:rPr>
        <w:t xml:space="preserve">article id.94, </w:t>
      </w:r>
      <w:r>
        <w:rPr>
          <w:rFonts w:ascii="" w:hAnsi="" w:cs="" w:eastAsia=""/>
          <w:b w:val="false"/>
          <w:i w:val="false"/>
          <w:strike w:val="false"/>
          <w:color w:val="000000"/>
          <w:sz w:val="20"/>
          <w:u w:val="none"/>
        </w:rPr>
        <w:t>23-pages,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571, </w:t>
      </w:r>
      <w:r>
        <w:rPr>
          <w:rFonts w:ascii="" w:hAnsi="" w:cs="" w:eastAsia=""/>
          <w:b w:val="false"/>
          <w:i w:val="true"/>
          <w:strike w:val="false"/>
          <w:color w:val="000000"/>
          <w:sz w:val="20"/>
          <w:u w:val="none"/>
        </w:rPr>
        <w:t xml:space="preserve">article id. A52, </w:t>
      </w:r>
      <w:r>
        <w:rPr>
          <w:rFonts w:ascii="" w:hAnsi="" w:cs="" w:eastAsia=""/>
          <w:b w:val="false"/>
          <w:i w:val="false"/>
          <w:strike w:val="false"/>
          <w:color w:val="000000"/>
          <w:sz w:val="20"/>
          <w:u w:val="none"/>
        </w:rPr>
        <w:t>24-pages,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Widyasri Prananingrum, Yoshihito Naito, Silvia Galli, Jiyoung Bae, Kazumitsu Sekine,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Yoritoki Tomotake, Ann Wennerberg, Ryo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Bone ingrowth of various porous titanium scaffolds produced by a moldless and space holder technique: An in vivo study in rabbits, </w:t>
      </w:r>
      <w:r>
        <w:rPr>
          <w:rFonts w:ascii="" w:hAnsi="" w:cs="" w:eastAsia=""/>
          <w:b w:val="false"/>
          <w:i w:val="true"/>
          <w:strike w:val="false"/>
          <w:color w:val="000000"/>
          <w:sz w:val="20"/>
          <w:u w:val="single"/>
        </w:rPr>
        <w:t>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015012, 2016.</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7"/>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91-96,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48-50,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215-220,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 Santiago, Chile,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articleid.65-13pp,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0"/>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articleid.137-19pages,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169-175,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P110a,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articleid.43-17pp,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articleid.42-19pp,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articleid.8817pp, 2019.</w:t>
      </w:r>
    </w:p>
    <w:p>
      <w:pPr>
        <w:numPr>
          <w:numId w:val="11"/>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articleid.27-16pp,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11"/>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4749-4759,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id.28, </w:t>
      </w:r>
      <w:r>
        <w:rPr>
          <w:rFonts w:ascii="" w:hAnsi="" w:cs="" w:eastAsia=""/>
          <w:b w:val="false"/>
          <w:i w:val="false"/>
          <w:strike w:val="false"/>
          <w:color w:val="000000"/>
          <w:sz w:val="20"/>
          <w:u w:val="none"/>
        </w:rPr>
        <w:t>1-33,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2"/>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A78,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P126A,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3414-3433,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1985-2002,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220-227,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15"/>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17"/>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