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none"/>
        </w:rPr>
        <w:t xml:space="preserve">国際センター紀要,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764-770,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253-265,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62-63,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9502-9506, Palma de Mallorca, Jul.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4015-4021, Sevillie,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Vol.AISC1131, </w:t>
      </w:r>
      <w:r>
        <w:rPr>
          <w:rFonts w:ascii="" w:hAnsi="" w:cs="" w:eastAsia=""/>
          <w:b w:val="false"/>
          <w:i w:val="false"/>
          <w:strike w:val="false"/>
          <w:color w:val="000000"/>
          <w:sz w:val="20"/>
          <w:u w:val="none"/>
        </w:rPr>
        <w:t>677-682, Modena, Feb.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6,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Vol.CCIS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Reg-p0003,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101-102,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28-35,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294-295,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10-12,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1"/>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Malaysia,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11-14,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2"/>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12129, 2022.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12-18,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Mahandran a, l Govindaraj, Ryohei Miyadera, Ng Khar Thoe, Endah Retnowati, Ng Jing Hang, Choo Poh 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Goh Jia Haur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false"/>
          <w:i w:val="false"/>
          <w:strike w:val="false"/>
          <w:color w:val="000000"/>
          <w:sz w:val="20"/>
          <w:u w:val="none"/>
        </w:rPr>
        <w:t>Penang, Malaysia,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152-163, 2023.</w:t>
      </w:r>
    </w:p>
    <w:p>
      <w:pPr>
        <w:numPr>
          <w:numId w:val="23"/>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6727-6732,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1065-1073,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9-15,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218-226,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248-254, Palermo, Feb.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161-162,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4"/>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4"/>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 大学生の深い学びの状況について,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