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とくしま県民活動プラザ10年記念フォーラム,  (実行副委員長 [2011年5月〜8月]).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JTMとくしま日本語ネットワーク,  (文化庁委託生活者としての外国人事業運営医院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[2013年4月〜2014年3月]).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徳島県教育委員会教育文化政策課,  (あわっ子文化大使(中学生)と外国人留学生の教育活動指導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徳島県公益財団法人 徳島県生活衛生営業指導センター,  (「外国人旅行者受入事業」アドバイザー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公益財団法人 徳島県生活衛生営業指導センター,  (外国人旅行者受入事業のアドバイザー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(情報化推進委員会 [2017年4月〜2018年3月], 学生生活支援室運営会議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 全日本地域研究交流協会,  (目利き人材育成研修プログラム「研究推進マネジメントコース」グループ討議講師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公益財団法人神戸医療産業都市推進機構,  (ライフサイエンススタートアップ経営人材育成講座ファシリテーター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NGO 日本ベトナム パートナーシップ,  (理事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 JST SCORE(大学推進型)起業支援プログラム講師(神戸大学，大阪工業大学コンソーシアム),  ( [2020年12月]).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兵庫県立柏原高等学校,  (探究学習アドバイザ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三田学園高等学校,  (出張講義 講師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阿波かつうら''まけまけ''アウトドア創出協議会,  (アドバイザー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