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刑部 祐里子,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CRISPRタイプI-Dシステムを利用した標的配列改変技術, 特願PCT/JP2020/011283 (2019年3月), 特開WO/2020/184723 (2020年9月),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特願2021-005265 (2021年1月),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複素環含有アミノ酸化合物及びその塩，錯体，組成物，肥料，並びに植物成長調整剤, 特願PCT (2021年2月),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米良 茜, 鈴木 基史,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複素環含有アミノ酸化合物及び錯体, 特願2022-0054884 (2022年3月),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呉 明輝,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宇都 義浩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サルコペニア抑制食品の製造方法，サルコペニア抑制食品及び筋肉増強食品, 特願2023-520364 (2022年6月), 特開WO2023/084389 (2023年5月), 特許第7406199号 (2023年12月).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米良 茜, 鈴木 基史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複素環含有アミノ酸化合物の製造方法, 特願PCT/JP2023/011815(WO) (2023年3月),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小笠 千恵, 米良 茜, 菅原 一起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アミノ酸t-ブチルエステル及び/又はその塩の製造方法, 特願2023-110252 (2023年7月),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