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84-87, 2015.</w:t>
      </w:r>
    </w:p>
    <w:p>
      <w:pPr>
        <w:numPr>
          <w:numId w:val="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e0125916,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1059-1064,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297-301, 2015年.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S1-7, 2015.</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5"/>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Takehiro Nagata,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Takayuki Nakamura, Takuya Tokunaga, Yusuke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Mizuta : </w:t>
      </w:r>
      <w:r>
        <w:rPr>
          <w:rFonts w:ascii="" w:hAnsi="" w:cs="" w:eastAsia=""/>
          <w:b w:val="false"/>
          <w:i w:val="false"/>
          <w:strike w:val="false"/>
          <w:color w:val="000000"/>
          <w:sz w:val="20"/>
          <w:u w:val="none"/>
        </w:rPr>
        <w:t xml:space="preserve">Evaluation of the utility of the Estimation of Physiologic Ability and Surgical Stress score for predicting post-operative morbidity after orthopaedic surgery.,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2167-2172,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Tomokazu Nishikawa, Tetsuya Takahashi, Masahiro Nakamori, Naohisa Hosomi, Hirofumi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Matsumoto : </w:t>
      </w:r>
      <w:r>
        <w:rPr>
          <w:rFonts w:ascii="" w:hAnsi="" w:cs="" w:eastAsia=""/>
          <w:b w:val="false"/>
          <w:i w:val="false"/>
          <w:strike w:val="false"/>
          <w:color w:val="000000"/>
          <w:sz w:val="20"/>
          <w:u w:val="none"/>
        </w:rPr>
        <w:t xml:space="preserve">The identification of raft-derived tau-associated vesicles that are incorporated into immature tangles and paired helical filaments.,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639-653,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5"/>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Takuya Taniwaki, Toru Fujimoto, Tatsuya Okada, Takayuki Nakamura, Koichiro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Mizuta : </w:t>
      </w:r>
      <w:r>
        <w:rPr>
          <w:rFonts w:ascii="" w:hAnsi="" w:cs="" w:eastAsia=""/>
          <w:b w:val="false"/>
          <w:i w:val="false"/>
          <w:strike w:val="false"/>
          <w:color w:val="000000"/>
          <w:sz w:val="20"/>
          <w:u w:val="none"/>
        </w:rPr>
        <w:t xml:space="preserve">Validity of E-PASS System for Postoperative Morbidity of Spinal Surgery.,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E595-600,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1430-1431, 2015.</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289-293, 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746-749, 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hepatocelluar carcinoma-Risk of increasing malignant behavior,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高齢PD患者に対するドパミンアゴニスト製剤治療,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79, 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 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600, 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172-177,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Yoshida, Hideaki Jinnouchi, Seigo Sugiyama,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Tateki Segata, Kazue Furuta, Kazuhiro Katahira, Keizo Kajiwara, Kunio Hieshima, Tomio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Usuku : </w:t>
      </w:r>
      <w:r>
        <w:rPr>
          <w:rFonts w:ascii="" w:hAnsi="" w:cs="" w:eastAsia=""/>
          <w:b w:val="false"/>
          <w:i w:val="false"/>
          <w:strike w:val="false"/>
          <w:color w:val="000000"/>
          <w:sz w:val="20"/>
          <w:u w:val="none"/>
        </w:rPr>
        <w:t xml:space="preserve">Combined arteriosclerotic assessment of ankle-brachial index and maximum intima-media thickness via CCTA is useful for predicting coronary artery stenosis in patients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91-99,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Nishioka, E Nakamura,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 Okamoto, S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MRI T1 and T2 mapping for the assessment of articular cartilage changes in patients with medial knee osteoarthritis after hemicallotasis osteotomy.,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294-300,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355-359, 2016.</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46-50,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868-874,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284-289,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473-479,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985-994,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97-108, 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443-446,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false"/>
          <w:strike w:val="false"/>
          <w:color w:val="000000"/>
          <w:sz w:val="20"/>
          <w:u w:val="none"/>
        </w:rPr>
        <w:t>153-157,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1073-1078, 2017.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326-340,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117-121,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443-446,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362-364,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632-638,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39-46,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556-561, 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1635-1637,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829-834,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O-YB-06-2,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51-54,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1519-1520,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617-623,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422-426,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S181-S186, 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597-604, 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50-55, 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S64-S69, 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1825-1827,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465-470,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176-182,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8"/>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S504, 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S360,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S220, 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46-49, 2019年.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30-33,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9"/>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e033131,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743-749,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465-470, 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13-18, 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510-512,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1446-1448,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517-521,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2-P1-3-1, 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2-7-3-1, 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1-7-2-5, 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S323,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2246-2255,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1085-1092,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92-103, 2020年4月.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224-233, 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3-P2K-5-2, 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2-14-7-3, 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S179, 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705-715,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190-196,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1796-1804,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3545-3554,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4637-4644,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835-842,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e0256755,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5852, 2022.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1285-1289,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1286-1298,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1631-1636,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105-109,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531-539,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343-349,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201-208, 2023年.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1985-1992,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504-509,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19954, 2023.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1084-1095, 2024.</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