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星 恵太, </w:t>
      </w:r>
      <w:r>
        <w:rPr>
          <w:rFonts w:ascii="" w:hAnsi="" w:cs="" w:eastAsia=""/>
          <w:b w:val="true"/>
          <w:i w:val="false"/>
          <w:strike w:val="false"/>
          <w:color w:val="000000"/>
          <w:sz w:val="20"/>
          <w:u w:val="single"/>
        </w:rPr>
        <w:t>上田 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テトラアリール[3]クムレンの二量化反応による高効率発光性分子の合成と発光特性評価, 2020年日本化学会中国四国支部大会 優秀発表賞, 日本化学会中国四国支部, 2020年12月.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ソーシャルデザイン∼未来社会とキャリアの構想, 令和3年度「教養教育賞」, 徳島大学教養教育院, 2022年3月.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2021年度教養教育賞, 令和3年度教養教育賞,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コミュニケーション入門, 令和4年度「教養教育賞」, 徳島大学教養教育院, 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山﨑 一惠 : </w:t>
      </w:r>
      <w:r>
        <w:rPr>
          <w:rFonts w:ascii="" w:hAnsi="" w:cs="" w:eastAsia=""/>
          <w:b w:val="false"/>
          <w:i w:val="false"/>
          <w:strike w:val="false"/>
          <w:color w:val="000000"/>
          <w:sz w:val="20"/>
          <w:u w:val="none"/>
        </w:rPr>
        <w:t xml:space="preserve">徳島大学における休学者・退学者等に関する現状と課題, SPODフォーラム2022優秀ポスター賞, </w:t>
      </w:r>
      <w:r>
        <w:rPr>
          <w:rFonts w:ascii="" w:hAnsi="" w:cs="" w:eastAsia=""/>
          <w:b w:val="false"/>
          <w:i w:val="false"/>
          <w:strike w:val="false"/>
          <w:color w:val="000000"/>
          <w:sz w:val="20"/>
          <w:u w:val="single"/>
        </w:rPr>
        <w:t>四国地区大学教職員能力開発ネットワーク</w:t>
      </w:r>
      <w:r>
        <w:rPr>
          <w:rFonts w:ascii="" w:hAnsi="" w:cs="" w:eastAsia=""/>
          <w:b w:val="false"/>
          <w:i w:val="false"/>
          <w:strike w:val="false"/>
          <w:color w:val="000000"/>
          <w:sz w:val="20"/>
          <w:u w:val="none"/>
        </w:rPr>
        <w:t>, 2022年8月.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ソーシャルデザイン, 令和5年度「教養教育賞」, 徳島大学教養教育院, 2024年3月.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教養教育賞, 令和5年度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2024年4月.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コミュニケーション入門, 令和6年度「教養教育賞」, 徳島大学教養教育院, 2025年3月.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教養教育賞, 令和6年度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2025年4月.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