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1559-1569,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1640-1649,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4943-4951,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59-65,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430-434,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1650-1661,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6"/>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1097-1101,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82-90,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No.13560,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37-38,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1017-1026,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Vol.5157, </w:t>
      </w:r>
      <w:r>
        <w:rPr>
          <w:rFonts w:ascii="" w:hAnsi="" w:cs="" w:eastAsia=""/>
          <w:b w:val="false"/>
          <w:i w:val="false"/>
          <w:strike w:val="false"/>
          <w:color w:val="000000"/>
          <w:sz w:val="20"/>
          <w:u w:val="none"/>
        </w:rPr>
        <w:t>42-43,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59-65,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498-507,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401-405,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1748-1752,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19-24,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809-815,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328-336,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145-153,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764-770,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550-551,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none"/>
        </w:rPr>
        <w:t xml:space="preserve">Journal of CRINICAL REHABILITATION,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第34階日本疫学会学術総会,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29-38,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none"/>
        </w:rPr>
        <w:t xml:space="preserve">Cureus,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e68291,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Takashimα,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DMRTA1-CD8+ TCD8+ T,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