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 </w:t>
      </w:r>
      <w:r>
        <w:rPr>
          <w:rFonts w:ascii="" w:hAnsi="" w:cs="" w:eastAsia=""/>
          <w:b w:val="false"/>
          <w:i w:val="false"/>
          <w:strike w:val="false"/>
          <w:color w:val="000000"/>
          <w:sz w:val="20"/>
          <w:u w:val="none"/>
        </w:rPr>
        <w:t xml:space="preserve">橋梁用高性能鋼材SBHS500で製作した千鳥有孔板の終局状態に関する検討, 令和5年度四国支部技術研究発表会,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 </w:t>
      </w:r>
      <w:r>
        <w:rPr>
          <w:rFonts w:ascii="" w:hAnsi="" w:cs="" w:eastAsia=""/>
          <w:b w:val="false"/>
          <w:i w:val="false"/>
          <w:strike w:val="false"/>
          <w:color w:val="000000"/>
          <w:sz w:val="20"/>
          <w:u w:val="none"/>
        </w:rPr>
        <w:t xml:space="preserve">1×7構造用ストランドロープの素線間の荷重分担および断面力特性, 令和6年度四国支部技術研究発表会,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