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1044-1051, 2020.</w:t>
      </w:r>
    </w:p>
    <w:p>
      <w:pPr>
        <w:numPr>
          <w:numId w:val="5"/>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1052-1060, 2020.</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242-253,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2021.</w:t>
      </w:r>
    </w:p>
    <w:p>
      <w:pPr>
        <w:numPr>
          <w:numId w:val="6"/>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93-95,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518-522,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117-119,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7"/>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8"/>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8"/>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