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IIC-07-79, </w:t>
      </w:r>
      <w:r>
        <w:rPr>
          <w:rFonts w:ascii="" w:hAnsi="" w:cs="" w:eastAsia=""/>
          <w:b w:val="false"/>
          <w:i w:val="false"/>
          <w:strike w:val="false"/>
          <w:color w:val="000000"/>
          <w:sz w:val="20"/>
          <w:u w:val="none"/>
        </w:rPr>
        <w:t>53-58,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4692,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Takashi Osanai, Hisanori Makinae, Toshiaki Kamada,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OIS2008-86, </w:t>
      </w:r>
      <w:r>
        <w:rPr>
          <w:rFonts w:ascii="" w:hAnsi="" w:cs="" w:eastAsia=""/>
          <w:b w:val="false"/>
          <w:i w:val="false"/>
          <w:strike w:val="false"/>
          <w:color w:val="000000"/>
          <w:sz w:val="20"/>
          <w:u w:val="none"/>
        </w:rPr>
        <w:t>65-70,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Based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Wu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 Chen, Guowen Wu, Xin Luo,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Liqin Yang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2010-MUS-85,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NLC2010,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CT-11-030,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 xml:space="preserve">291-293,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Iwase, 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 xml:space="preserve">1515-1517,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continuous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2016-NL-225,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3"/>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Yamane Daichi,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Nushida Tomoki,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24"/>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(inpress),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w:t>
      </w:r>
      <w:r>
        <w:rPr>
          <w:rFonts w:ascii="" w:hAnsi="" w:cs="" w:eastAsia=""/>
          <w:b w:val="false"/>
          <w:i w:val="false"/>
          <w:strike w:val="false"/>
          <w:color w:val="000000"/>
          <w:sz w:val="20"/>
          <w:u w:val="none"/>
        </w:rPr>
        <w:t>8pgs, Gothenburg, Sweden,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