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23-34,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104469, 2020.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372-373, </w:t>
      </w:r>
      <w:r>
        <w:rPr>
          <w:rFonts w:ascii="" w:hAnsi="" w:cs="" w:eastAsia=""/>
          <w:b w:val="false"/>
          <w:i w:val="false"/>
          <w:strike w:val="false"/>
          <w:color w:val="000000"/>
          <w:sz w:val="20"/>
          <w:u w:val="none"/>
        </w:rPr>
        <w:t>105665, 2020.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195-201, 2020.</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87-94,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47-49,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7-20,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362, </w:t>
      </w:r>
      <w:r>
        <w:rPr>
          <w:rFonts w:ascii="" w:hAnsi="" w:cs="" w:eastAsia=""/>
          <w:b w:val="false"/>
          <w:i w:val="false"/>
          <w:strike w:val="false"/>
          <w:color w:val="000000"/>
          <w:sz w:val="20"/>
          <w:u w:val="none"/>
        </w:rPr>
        <w:t>106291, 2021.</w:t>
      </w:r>
    </w:p>
    <w:p>
      <w:pPr>
        <w:numPr>
          <w:numId w:val="6"/>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404-405, </w:t>
      </w:r>
      <w:r>
        <w:rPr>
          <w:rFonts w:ascii="" w:hAnsi="" w:cs="" w:eastAsia=""/>
          <w:b w:val="false"/>
          <w:i w:val="true"/>
          <w:strike w:val="false"/>
          <w:color w:val="000000"/>
          <w:sz w:val="20"/>
          <w:u w:val="none"/>
        </w:rPr>
        <w:t xml:space="preserve">106438,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105011,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11-14,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100111,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2065-2080, 2023.</w:t>
      </w:r>
    </w:p>
    <w:p>
      <w:pPr>
        <w:numPr>
          <w:numId w:val="8"/>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8"/>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