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916-932, 2022.</w:t>
      </w:r>
    </w:p>
    <w:p>
      <w:pPr>
        <w:numPr>
          <w:numId w:val="7"/>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903-926,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1358-1372,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2214-2235,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499-527,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linearly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8"/>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104-118, 2024.</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951-974,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