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2229-2236, 2021.</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