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5"/>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7"/>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8"/>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9"/>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