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1140-1148,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815-821,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16-22, 2023.</w:t>
      </w:r>
    </w:p>
    <w:p>
      <w:pPr>
        <w:numPr>
          <w:numId w:val="5"/>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1042-1049,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281-284, 2023.</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112162, 2023.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S-165,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101893, 2023.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3232-3239,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3020, 2023.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Mari Miki, Kanna Hiraoka, Masafumi Nakamura, Yoshimi Tsujimoto, Tokujiro Yamamura, Kojin Murakami,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Mycobacterium heckeshornense infection coexisted with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327-331,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Kenya Miyamoto,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Takumi Kakimoto, Yugo Matsumura,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epidermal growth factor receptor mutated lung adenocarcinoma to small-cell carcinoma long after the cessation of tyrosine kinase inhibitor treatment: A case series and literature review,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102076, 2024.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Yugo Matsumura,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Takeshi Masuda,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Noboru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pleural mesothelioma with immunohistochemical staining positive for Krebs von den Lungen-6,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102040, 2024.</w:t>
      </w:r>
    </w:p>
    <w:p>
      <w:pPr>
        <w:numPr>
          <w:numId w:val="6"/>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369-378,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1283, 2024.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pharmacotherapies for advanced lung cancer with pre-existing interstitial lung disease: A literature review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Granulocyte colony-stimulating factor has the potential to attenuate the therapeutic efficacy of chemo-immunotherapy for extensive-stage small-cell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1451-1460,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Aito Yoshida,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factor-targeting therapy augmented the sensitivity to programmed death ligand-1 blockade by enhancing interferon-γ-induced chemokines in tumor cells,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1814-1825,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Kaori Nii, Kensuke Mori,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adrenocorticotropic hormone deficiency presenting with arthritis: A case report,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2025.</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Na Thi Nguyen,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potential of fluoropyrimidine to be an immunologically optimal partner of immunotherapy for thoracic malignancies,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Yugo Matsumura, Seiya Ichihara, </w:t>
      </w:r>
      <w:r>
        <w:rPr>
          <w:rFonts w:ascii="" w:hAnsi="" w:cs="" w:eastAsia=""/>
          <w:b w:val="true"/>
          <w:i w:val="false"/>
          <w:strike w:val="false"/>
          <w:color w:val="000000"/>
          <w:sz w:val="20"/>
          <w:u w:val="single"/>
        </w:rPr>
        <w:t>Takeshi Imakura</w:t>
      </w:r>
      <w:r>
        <w:rPr>
          <w:rFonts w:ascii="" w:hAnsi="" w:cs="" w:eastAsia=""/>
          <w:b w:val="true"/>
          <w:i w:val="false"/>
          <w:strike w:val="false"/>
          <w:color w:val="000000"/>
          <w:sz w:val="20"/>
          <w:u w:val="none"/>
        </w:rPr>
        <w:t xml:space="preserve">, Rikako Matsumoto,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w:t>
      </w:r>
      <w:r>
        <w:rPr>
          <w:rFonts w:ascii="" w:hAnsi="" w:cs="" w:eastAsia=""/>
          <w:b w:val="true"/>
          <w:i w:val="false"/>
          <w:strike w:val="false"/>
          <w:color w:val="000000"/>
          <w:sz w:val="20"/>
          <w:u w:val="single"/>
        </w:rPr>
        <w:t>Yutaka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Conflicting Impacts of G-CSF on the Therapeutic Efficacy of Chemoimmunotherapy for Extensive Stage Small Cell Lung Cancer, </w:t>
      </w:r>
      <w:r>
        <w:rPr>
          <w:rFonts w:ascii="" w:hAnsi="" w:cs="" w:eastAsia=""/>
          <w:b w:val="false"/>
          <w:i w:val="true"/>
          <w:strike w:val="false"/>
          <w:color w:val="000000"/>
          <w:sz w:val="20"/>
          <w:u w:val="none"/>
        </w:rPr>
        <w:t xml:space="preserve">2024 World Conference on Lung Cancer,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胸部腫瘍に対して免疫チェックポイント阻害薬と併用すべき至適抗がん剤の同定を目指した免疫学的解析,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磯村 祐太,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坂東 弘基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気管支鏡後の呼吸器感染症ハイリスク症例における予防的抗菌薬投与の意義についての後方視的研究,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吉田 碧人,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制御によるがん免疫排除克服に向けた治療戦略,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が進展型小細胞肺癌に対する化学免疫療法の治療効果に及ぼす影響に関する解析,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分化制御による免疫排除克服と新規複合がん免疫療法への展開,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IFN-γ反応性ケモカイン産生制御機序の解明と新規複合がん免疫療法への応用,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岡野 義夫,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松本 利加子,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長谷 加容子, 竹内 栄治, 葉久 貴司,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G-CSFが進展型小細胞肺癌における化学免疫療法の治療効果に及ぼす影響を検討した多施設共同後方視的解析,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