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特願2006-071836 (2006年3月),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岸川 博紀,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変調方式変換器，中継器，及び変調方式の変換方法, 特願2011-163998 (2011年7月),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