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2021年度教養教育賞(基礎科目群),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2021年度教養教育賞(教養科目群),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International Conference on Nanomaterials and Advanced Composites,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化学工j学会山口大会2024優秀学生発表賞,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Gibberella 菌のDeoxynivalenol産生およびTRI遺伝子発現への光照射と稲わら水蒸気爆砕リグニンの影響, ポスターセッション「奨励賞」, 次世代光フォーラム2025 in 徳島,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