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5"/>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4336-1-4336-9,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366-373,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Vol.G02-1513, </w:t>
      </w:r>
      <w:r>
        <w:rPr>
          <w:rFonts w:ascii="" w:hAnsi="" w:cs="" w:eastAsia=""/>
          <w:b w:val="false"/>
          <w:i w:val="false"/>
          <w:strike w:val="false"/>
          <w:color w:val="000000"/>
          <w:sz w:val="20"/>
          <w:u w:val="none"/>
        </w:rPr>
        <w:t>Gothenburg, Sweden,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No.16P-1-15,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No.16P-1-20,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Vol.Ap-7,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Vol.Ap-8,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No.M-257,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Vol.22p-P07-33,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Vol.23p-32A-2,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No.FIE-23-026∼028, </w:t>
      </w:r>
      <w:r>
        <w:rPr>
          <w:rFonts w:ascii="" w:hAnsi="" w:cs="" w:eastAsia=""/>
          <w:b w:val="false"/>
          <w:i w:val="false"/>
          <w:strike w:val="false"/>
          <w:color w:val="000000"/>
          <w:sz w:val="20"/>
          <w:u w:val="none"/>
        </w:rPr>
        <w:t>5-10,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280-286,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No.EPP-24-042, </w:t>
      </w:r>
      <w:r>
        <w:rPr>
          <w:rFonts w:ascii="" w:hAnsi="" w:cs="" w:eastAsia=""/>
          <w:b w:val="false"/>
          <w:i w:val="false"/>
          <w:strike w:val="false"/>
          <w:color w:val="000000"/>
          <w:sz w:val="20"/>
          <w:u w:val="none"/>
        </w:rPr>
        <w:t>59-62,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