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22848-22859,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6793-6800,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7978-7987,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No.SK, </w:t>
      </w:r>
      <w:r>
        <w:rPr>
          <w:rFonts w:ascii="" w:hAnsi="" w:cs="" w:eastAsia=""/>
          <w:b w:val="false"/>
          <w:i w:val="false"/>
          <w:strike w:val="false"/>
          <w:color w:val="000000"/>
          <w:sz w:val="20"/>
          <w:u w:val="none"/>
        </w:rPr>
        <w:t>SK1001,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6849808, 2022.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8400209, 2022.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No.169654,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1285-1290,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10732-10743,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1490-1493,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No.220201,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128-131,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Vol.SM2F.7,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No.1004,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No.2022-SAT-P0901-P009,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No.2022-SUN-P0202-P008,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No.2022-SUN-P0402-P012,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Vol.12463,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Vol.12465,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Vol.12468,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No.P10 50035,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No.P06 50017,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No.50041,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161-162,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48-49,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Vol.20a-A202-3,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Vol.22a-C206-4,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Vol.22p-P04-4,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33-36,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47-51,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No.OPE2022-64,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No.OPE2022-63,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No.237, </w:t>
      </w:r>
      <w:r>
        <w:rPr>
          <w:rFonts w:ascii="" w:hAnsi="" w:cs="" w:eastAsia=""/>
          <w:b w:val="false"/>
          <w:i w:val="false"/>
          <w:strike w:val="false"/>
          <w:color w:val="000000"/>
          <w:sz w:val="20"/>
          <w:u w:val="none"/>
        </w:rPr>
        <w:t>5-8,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43-44,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136-138,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210-211,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217-220,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7695-7702,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114820, 2023.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Vol.965, </w:t>
      </w:r>
      <w:r>
        <w:rPr>
          <w:rFonts w:ascii="" w:hAnsi="" w:cs="" w:eastAsia=""/>
          <w:b w:val="false"/>
          <w:i w:val="false"/>
          <w:strike w:val="false"/>
          <w:color w:val="000000"/>
          <w:sz w:val="20"/>
          <w:u w:val="none"/>
        </w:rPr>
        <w:t>171356, 2023.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6241-6247,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2302064, 2023.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19551-19572,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Vol.e202301040, </w:t>
      </w:r>
      <w:r>
        <w:rPr>
          <w:rFonts w:ascii="" w:hAnsi="" w:cs="" w:eastAsia=""/>
          <w:b w:val="false"/>
          <w:i w:val="false"/>
          <w:strike w:val="false"/>
          <w:color w:val="000000"/>
          <w:sz w:val="20"/>
          <w:u w:val="none"/>
        </w:rPr>
        <w:t>1-23,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103679, 2024.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1232-1243,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45, 2024.</w:t>
      </w:r>
    </w:p>
    <w:p>
      <w:pPr>
        <w:numPr>
          <w:numId w:val="6"/>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5555-5558,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Kitora Hiroki, Funakoshi Mayu, 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Wafer-Scale Fabrication of High-Q Ta2O5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Vol.S2-15-CL,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Vol.P26-034,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Vol.C127,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Vol.2P17P17,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Vol.2P18],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Vol.4E05,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39-41,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75-76,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No.RTM-23-49,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2260-2266,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164713, 2024.</w:t>
      </w:r>
    </w:p>
    <w:p>
      <w:pPr>
        <w:numPr>
          <w:numId w:val="7"/>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7"/>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06SP01-1-06SP01-9,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014701, 2024.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 xml:space="preserve">Trailblazing 1D gadolinium-doped yttrium aluminium garnet (YAG: Gd3+)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100762, 2024.</w:t>
      </w:r>
    </w:p>
    <w:p>
      <w:pPr>
        <w:numPr>
          <w:numId w:val="7"/>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synergetic Pd/MoO3rGO hybrid material as efficient electrode for supercapacitor application, </w:t>
      </w:r>
      <w:r>
        <w:rPr>
          <w:rFonts w:ascii="" w:hAnsi="" w:cs="" w:eastAsia=""/>
          <w:b w:val="false"/>
          <w:i w:val="true"/>
          <w:strike w:val="false"/>
          <w:color w:val="000000"/>
          <w:sz w:val="20"/>
          <w:u w:val="none"/>
        </w:rPr>
        <w:t xml:space="preserve">Materials Chemistry and Physics,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130134, 2025.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