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7695-7702,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114820, 2023.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4554-4561,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6241-6247,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2302064, 2023.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19551-19572,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2440012, 2024.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45, 2024.</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Vol.S2-15-CL,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Vol.P26-033,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Vol.P26-034,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Vol.C127,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Vol.2P17P17,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Vol.2P18],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Vol.4E05,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No.RTM-23-49,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164713, 2024.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50-55,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014701, 2024.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