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none"/>
        </w:rPr>
        <w:t xml:space="preserve">npj metabolic health and disease,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