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Suha Matsuki</w:t>
      </w:r>
      <w:r>
        <w:rPr>
          <w:rFonts w:ascii="" w:hAnsi="" w:cs="" w:eastAsia=""/>
          <w:b w:val="true"/>
          <w:i w:val="false"/>
          <w:strike w:val="false"/>
          <w:color w:val="000000"/>
          <w:sz w:val="20"/>
          <w:u w:val="none"/>
        </w:rPr>
        <w:t xml:space="preserve">, Mima Shunsuke, Yamasaki Hiroyuki,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Nakagawa</w:t>
      </w:r>
      <w:r>
        <w:rPr>
          <w:rFonts w:ascii="" w:hAnsi="" w:cs="" w:eastAsia=""/>
          <w:b w:val="true"/>
          <w:i w:val="false"/>
          <w:strike w:val="false"/>
          <w:color w:val="000000"/>
          <w:sz w:val="20"/>
          <w:u w:val="none"/>
        </w:rPr>
        <w:t xml:space="preserve">, Suga Kenichi, </w:t>
      </w:r>
      <w:r>
        <w:rPr>
          <w:rFonts w:ascii="" w:hAnsi="" w:cs="" w:eastAsia=""/>
          <w:b w:val="true"/>
          <w:i w:val="false"/>
          <w:strike w:val="false"/>
          <w:color w:val="000000"/>
          <w:sz w:val="20"/>
          <w:u w:val="single"/>
        </w:rPr>
        <w:t>Takashi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Presurgical orthodontic treatment with ultraearly application of premaxilla-guiding nasoalveolar molding in feeding neonates. A case series., </w:t>
      </w:r>
      <w:r>
        <w:rPr>
          <w:rFonts w:ascii="" w:hAnsi="" w:cs="" w:eastAsia=""/>
          <w:b w:val="false"/>
          <w:i w:val="true"/>
          <w:strike w:val="false"/>
          <w:color w:val="000000"/>
          <w:sz w:val="20"/>
          <w:u w:val="none"/>
        </w:rPr>
        <w:t xml:space="preserve">JADA Foundational Science,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C, </w:t>
      </w:r>
      <w:r>
        <w:rPr>
          <w:rFonts w:ascii="" w:hAnsi="" w:cs="" w:eastAsia=""/>
          <w:b w:val="false"/>
          <w:i w:val="false"/>
          <w:strike w:val="false"/>
          <w:color w:val="000000"/>
          <w:sz w:val="20"/>
          <w:u w:val="none"/>
        </w:rPr>
        <w:t>100055, 2025.</w:t>
      </w:r>
    </w:p>
    <w:p>
      <w:pPr>
        <w:numPr>
          <w:numId w:val="5"/>
        </w:numPr>
        <w:autoSpaceDE w:val="off"/>
        <w:autoSpaceDN w:val="off"/>
        <w:spacing w:line="-240" w:lineRule="auto"/>
        <w:ind w:left="30"/>
      </w:pPr>
      <w:r>
        <w:rPr>
          <w:rFonts w:ascii="" w:hAnsi="" w:cs="" w:eastAsia=""/>
          <w:b w:val="true"/>
          <w:i w:val="false"/>
          <w:strike w:val="false"/>
          <w:color w:val="000000"/>
          <w:sz w:val="20"/>
          <w:u w:val="single"/>
        </w:rPr>
        <w:t>本間 友佳子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あつ子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加地 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胎児期から母体を介した経胎盤的抗不整脈薬投与を開始し， 出生後にイバブラジンを含む多剤併用療法を要した異所性心房頻拍の1例, </w:t>
      </w:r>
      <w:r>
        <w:rPr>
          <w:rFonts w:ascii="" w:hAnsi="" w:cs="" w:eastAsia=""/>
          <w:b w:val="false"/>
          <w:i w:val="true"/>
          <w:strike w:val="false"/>
          <w:color w:val="000000"/>
          <w:sz w:val="20"/>
          <w:u w:val="none"/>
        </w:rPr>
        <w:t xml:space="preserve">第39回日本小児循環器学会 近畿・中四国地方会, </w:t>
      </w:r>
      <w:r>
        <w:rPr>
          <w:rFonts w:ascii="" w:hAnsi="" w:cs="" w:eastAsia=""/>
          <w:b w:val="false"/>
          <w:i w:val="false"/>
          <w:strike w:val="false"/>
          <w:color w:val="000000"/>
          <w:sz w:val="20"/>
          <w:u w:val="none"/>
        </w:rPr>
        <w:t>2025年4月.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