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四国防災八十八話・普及啓発研究会による一連の防災に関する普及啓発活動, 令和4年度出版・文化賞,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