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Sun Xue-Zhi, Zhang Rui, Cui Chun, Harada Yoshi-Nobu, Hisano Setsuji, Gu Yeunhwa,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Yonehara Hidenori : </w:t>
      </w:r>
      <w:r>
        <w:rPr>
          <w:rFonts w:ascii="" w:hAnsi="" w:cs="" w:eastAsia=""/>
          <w:b w:val="false"/>
          <w:i w:val="false"/>
          <w:strike w:val="false"/>
          <w:color w:val="000000"/>
          <w:sz w:val="20"/>
          <w:u w:val="none"/>
        </w:rPr>
        <w:t>Animal Medels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735-740,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Fukunishi Katsuhiro,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Sukamoto Takayuki,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ボルド ジュラムト : </w:t>
      </w:r>
      <w:r>
        <w:rPr>
          <w:rFonts w:ascii="" w:hAnsi="" w:cs="" w:eastAsia=""/>
          <w:b w:val="false"/>
          <w:i w:val="false"/>
          <w:strike w:val="false"/>
          <w:color w:val="000000"/>
          <w:sz w:val="20"/>
          <w:u w:val="none"/>
        </w:rPr>
        <w:t xml:space="preserve">胎生期バルプロ酸曝露による精髄神経の形成異常,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No.2019 NO.1, </w:t>
      </w:r>
      <w:r>
        <w:rPr>
          <w:rFonts w:ascii="" w:hAnsi="" w:cs="" w:eastAsia=""/>
          <w:b w:val="false"/>
          <w:i w:val="false"/>
          <w:strike w:val="false"/>
          <w:color w:val="000000"/>
          <w:sz w:val="20"/>
          <w:u w:val="none"/>
        </w:rPr>
        <w:t>27,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9012-9027,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105766, 2023.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