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第3級アルコールの製造方法, 特願2005-174781 (2005年6月), 特許第4825969号 (2011年9月).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ポリエステルの分解方法および芳香族ジカルボン酸の回収方法, 特願2006-03415 (2006年2月), .</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田嶋 孝裕 : </w:t>
      </w:r>
      <w:r>
        <w:rPr>
          <w:rFonts w:ascii="" w:hAnsi="" w:cs="" w:eastAsia=""/>
          <w:b w:val="false"/>
          <w:i w:val="false"/>
          <w:strike w:val="false"/>
          <w:color w:val="000000"/>
          <w:sz w:val="20"/>
          <w:u w:val="none"/>
        </w:rPr>
        <w:t>第3級アルコール由来のエステルの製造方法, 特願2011-052693 (2011年3月), .</w:t>
      </w:r>
    </w:p>
    <w:p>
      <w:pPr>
        <w:numPr>
          <w:numId w:val="12"/>
        </w:numPr>
        <w:autoSpaceDE w:val="off"/>
        <w:autoSpaceDN w:val="off"/>
        <w:spacing w:line="-240" w:lineRule="auto"/>
        <w:ind w:left="30"/>
      </w:pP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クロメ由来のフロロタンニン類を有効成分とする紫外線照射障害保護剤,  (2011年8月),  (2013年3月), 特許第2013-049639号 (2013年3月).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特願2015126427 (2015年6月),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