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外部刺激応答型アミノ酸誘導体の合成およびペプチド化学への展開, 味の素研究企画賞,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