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独立行政法人 環境再生保全機構,  (重金属等の健康影響に関する総合研究 班長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独立行政法人 環境再生保全機構,  (重金属等の健康影響に関する総合研究 班長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徳島県立看護専門学校,  (疫学・保健統計学 講師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徳島県立看護専門学校,  (疫学・保健統計学 講師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徳島県医師会男女共同参画委員会,  (副委員長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(第53回中国四国合同産業衛生学会 学会長 [2009年11月〜2010年10月]).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(第53回中国四国合同産業衛生学会 学会長 [2009年11月〜2010年10月]).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全国機関衛生学公衆衛生学教育協議会,  (社会医学セミナー講師 [2011年8月〜8月]).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北村 尚正</w:t>
      </w:r>
      <w:r>
        <w:rPr>
          <w:rFonts w:ascii="" w:hAnsi="" w:cs="" w:eastAsia=""/>
          <w:b w:val="false"/>
          <w:i w:val="false"/>
          <w:strike w:val="false"/>
          <w:color w:val="000000"/>
          <w:sz w:val="20"/>
          <w:u w:val="none"/>
        </w:rPr>
        <w:t xml:space="preserve"> : 石井町保健センター,  ( [2011年4月]).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北村 尚正</w:t>
      </w:r>
      <w:r>
        <w:rPr>
          <w:rFonts w:ascii="" w:hAnsi="" w:cs="" w:eastAsia=""/>
          <w:b w:val="false"/>
          <w:i w:val="false"/>
          <w:strike w:val="false"/>
          <w:color w:val="000000"/>
          <w:sz w:val="20"/>
          <w:u w:val="none"/>
        </w:rPr>
        <w:t xml:space="preserve"> : 徳島市保健センター,  ( [2012年4月]).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徳島県小児保健協会,  (理事 [2013年9月〜]).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徳島県歯科口腔保健事業検討委員会,  (事業検討委員会委員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四国公衆衛生学会,  (第61回四国公衆衛生学会会長 [2015年2月〜2016年2月]).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徳島県小児保健協会,  (理事 [2013年9月〜]).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徳島県歯科口腔保健事業検討委員会,  (事業検討委員会委員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