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Y Wondmikun, A Aseffa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intestinal parasites in adult TB patients in a teaching hospital in Northwest Ethiopia,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