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Osaka,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Shiori Murakami, Atsushi Matsuzawa, Takuya Noguchi, Takeshi Fujiwara, Hiroyuki Aburatani, Keiji Moriyama, Kosuke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Ichijo : </w:t>
      </w:r>
      <w:r>
        <w:rPr>
          <w:rFonts w:ascii="" w:hAnsi="" w:cs="" w:eastAsia=""/>
          <w:b w:val="false"/>
          <w:i w:val="false"/>
          <w:strike w:val="false"/>
          <w:color w:val="000000"/>
          <w:sz w:val="20"/>
          <w:u w:val="none"/>
        </w:rPr>
        <w:t xml:space="preserve">ASK1-dependent recruitment and activation of macrophages induce hair growth inskin wounds,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903-909,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