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第Ⅱ部 臨床編 第5章 壮・中年期(25∼64歳), 永末書店,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下顎臼歯部片側遊離端欠損，および上顎中切歯1歯欠損に対してインプラント補綴治療を行った1症例,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下顎歯列および歯槽骨が著しく舌側傾斜している患者に対して磁性アタッチメントを用いたオーバーデンチャーで咬合回復した1症例,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Masako Terao, Akinobu Takaki, Takayuki Maruyama, Hiroki Oe, Tetsuya Yasunaka,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Kazufumi Nakamura, Takaaki Tomofuji, Takahito Yagi, Hiroshi Sadamori, Yuzo Umeda, Susumu Shinoura, Ryuichi Yoshida, Kazuhiro Nouso, Daisuke Ekuni, Kazuko Koike, Fusao Ikeda, Hidenori Shiraha, Manabu Morita, Hiroshi Ito, Toshiyoshi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Potentially Pulmonary Hypertensive Patients with Liver Cirrhosis: A Case Control Study.,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2815-2826,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88-91,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3210-3216, 2018.</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38-43,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185-189,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Noriko Saito-Tarashima, Takaaki Koma, Naoto Hinotani, Keigo Yoshida, Moka Ogasa, Akiho Murai, Syuya Inoue,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Minakawa : </w:t>
      </w:r>
      <w:r>
        <w:rPr>
          <w:rFonts w:ascii="" w:hAnsi="" w:cs="" w:eastAsia=""/>
          <w:b w:val="false"/>
          <w:i w:val="false"/>
          <w:strike w:val="false"/>
          <w:color w:val="000000"/>
          <w:sz w:val="20"/>
          <w:u w:val="none"/>
        </w:rPr>
        <w:t xml:space="preserve">3-Deazaguanosine inhibits SARS-CoV-2 viral replication and reduces the risk of COVID-19 pneumonia in hamster,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