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Pelvic endometriosis: Usual, unusual imaging manifestations and pitfalls, 医学部研究奨励賞,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3テスラ高磁場MR装置を用いた女性骨盤部領域のMRI診断,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奈緒美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脳腫瘍における拡散テンソル画像を用いた皮質脊髄路の評価:筋力低下との関連について, 国際飛躍賞,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Dynamic Susceptibility Contrast Perfusion Weighted Imaging in Grading of Non-enhancing Astrocytomas, Scientific Exhibition Award (Certificate of Merit), European Society of Radiology, Mar. 2010.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「食道癌術後再発に対する放射線治療症例の検討」, 最優秀演題賞, 第34回 四国食道疾患研究会, 2014年2月.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迷走神経反射によるPET/CT画像への影響, Cypos賞 Bronze Medal,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光博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PTBDにおける仮想透視画像(Virtual Fluoroscopy)活用の試み, 第2回 日本穿刺ドレナージ研究会 最優秀演題賞, 日本穿刺ドレナージ研究会, 2016年5月.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高磁場MRI装置を用いた婦人科疾患への分子イメージングの応用, 康楽賞, 公益財団法人康楽会,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Uterine Leiomyomas: Typical and Atypical Imaging Features, Diagnostic Pitfalls, and Problem-Solving MRI Techniques, Cum Laude, European Society of Radiology, Feb.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