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0"/>
        </w:numPr>
        <w:autoSpaceDE w:val="off"/>
        <w:autoSpaceDN w:val="off"/>
        <w:spacing w:line="-240" w:lineRule="auto"/>
        <w:ind w:left="30"/>
      </w:pP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血管平滑筋細胞におけるカリウムチャンネルの役割解明と制御機序に関する研究, 三木康楽賞,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2010年1月.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加地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和寿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須藤 真功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美紀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胎児期から 22q11.2 欠失症候群が疑われた一例, The best imaging賞, 第20回日本超音波医学会四国地方学術集会,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加地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和寿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須藤 真功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美紀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Dual dopplerを用いた肝静脈 ―下行大動脈血流波形による胎児房室伝導時間の検討―, 里見賞「研究部門」, 第17回日本胎児心臓病学会学術集会, 2011年2月.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ERK5 activation enhances mesangial cell viability and collagen matrix accumulation in rat progressive glomerulonephritis, 第46回に本小児腎臓病学会学術集会 森田賞, 日本小児腎臓病学会,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Urinary angiotensinogen as a biomarker of the intrarenal status of the renin-angiotensin system in patients with chronic glomerulonephritis, The 11th Asian Congress of Pediatric Nephrology 2011, Young Investigator Award, Asian Congress of Pediatric Nephrology,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Combination therapy with CCR2 antagonist and angiotensin II type 1 receptor blocker markedly ameliorates crescentic glomerulonephritis, 第54回日本腎臓学会学術総会 優秀演題賞, 日本腎臓学会,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ERK5 activation enhances mesangial cell viability and collagen matrix accumulation in rat progressive glomerulonephritis, 第136回日本小児科学会徳島地方会，黒田医学賞, 徳島大学小児科,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ERK5 activation enhances mesangial cell viability and collagen matrix accumulation in rat progressive glomerulonephritis, 第18回青藍会賞, 青藍会,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加地 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胎児心室間の圧較差について心時相からの解析 (心室中隔欠損単独症例からの検討), 里見賞「研究部門」, 2012年2月.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Kuwahara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Diagnostic and Therapeutic Strategy for Endometriosis by MR Imaging with Problem-solving Advanced Techniques, Certificate of Merit, Radiological Society of North America, Nov. 2012.</w:t>
      </w:r>
    </w:p>
    <w:p>
      <w:pPr>
        <w:numPr>
          <w:numId w:val="16"/>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腎発生における尿中アンジオテンシノーゲンの臨床的意義の検討, 第45回日本腎臓学会西部学術大会優秀演題賞, 日本腎臓学会, 2015年10月.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ラット半月体形成性腎炎モデルにおける(プロ)レニン受容体を介した病態機序と直接レニン阻害薬による治療効果, 第51回日本小児腎臓病学会学術集会奨励賞基礎遺伝子関連部門, 2016年7月.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小児腎病態における腎内レニン・アンジオテンシン系活性化の制御機構, 2019年日本小児科学会学術研究賞, 日本小児科学会, 2019年4月.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