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chemoradiotherapy with low radiation dose for urinanally bladder cancer, 優秀発表賞(総合),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子宮内膜症のMRI診断, 板井研究奨励賞,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 卵巣腫瘍の押さえどころ&gt; 企画, 第6回「画像診断」Best Invited Editor賞, 学研メディカル秀潤社,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子宮頸癌に対する放射線治療の早期治療効果予測における3T MRIを用いた拡散強調像及びMRスペクトロスコピーの有用性の検討, 日本医学放射線学会研究助成賞, 日本医学放射線学会,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細胆管癌の2例:CTおよびMRI所見を中心に, 打田賞, 日本腹部放射線研究会, 2011年6月.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子宮頸部絨毛腺管状粘液性腺癌の1例, 打田賞, 日本腹部放射線学会,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特集&lt;女性骨盤の画像スペクトラム - 生理的変化と良性病変のwide variation -&gt;企画, 第11回「画像診断」Best Invited Editor賞, 学研メディカル秀潤社, 2015年4月.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リンパの流れを読む, CyPos賞 教育展示優秀賞, 第82回日本医学放射線学会総会, 2023年5月.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