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Suzuki, J Suzumiya, S Nakamura, S Aoki, A Notoya,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H Gondo, N Hino, H Mori, H Sugimori, K 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Oshimi : </w:t>
      </w:r>
      <w:r>
        <w:rPr>
          <w:rFonts w:ascii="" w:hAnsi="" w:cs="" w:eastAsia=""/>
          <w:b w:val="false"/>
          <w:i w:val="false"/>
          <w:strike w:val="false"/>
          <w:color w:val="000000"/>
          <w:sz w:val="20"/>
          <w:u w:val="none"/>
        </w:rPr>
        <w:t xml:space="preserve">Aggressive natural killer-cell leukemia revisited: large granular lymphocyte leukemia of cytotoxic NK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Steven B. Rew, Karl Peggs, Irene Sanjuan, Arnold R. Pizzey, Yasuo Koishihara, Shigeto Kawai, Masaaki Kosaka,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Benjamin Chain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Kwee L. Yong : </w:t>
      </w:r>
      <w:r>
        <w:rPr>
          <w:rFonts w:ascii="" w:hAnsi="" w:cs="" w:eastAsia=""/>
          <w:b w:val="false"/>
          <w:i w:val="false"/>
          <w:strike w:val="false"/>
          <w:color w:val="000000"/>
          <w:sz w:val="20"/>
          <w:u w:val="none"/>
        </w:rPr>
        <w:t xml:space="preserve">Generation of Potent Antitumor CTL from Patients with Multiple Myeloma Directed against HM1.24,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3377-3384,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Immunoglobulin Light Chains in AL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399-400,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26-28,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